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всички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</w:t>
            </w:r>
            <w:proofErr w:type="spellStart"/>
            <w:r w:rsidRPr="00396C49">
              <w:rPr>
                <w:b/>
                <w:bCs/>
              </w:rPr>
              <w:t>ите</w:t>
            </w:r>
            <w:proofErr w:type="spellEnd"/>
            <w:r w:rsidRPr="00396C49">
              <w:rPr>
                <w:b/>
                <w:bCs/>
              </w:rPr>
              <w:t>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 xml:space="preserve">Кредитни линии (сума в </w:t>
            </w:r>
            <w:proofErr w:type="spellStart"/>
            <w:r w:rsidRPr="00396C49">
              <w:rPr>
                <w:b/>
                <w:bCs/>
              </w:rPr>
              <w:t>щ.д</w:t>
            </w:r>
            <w:proofErr w:type="spellEnd"/>
            <w:r w:rsidRPr="00396C49">
              <w:rPr>
                <w:b/>
                <w:bCs/>
              </w:rPr>
              <w:t>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2022-09-16T13:03:00Z</cp:lastPrinted>
  <dcterms:created xsi:type="dcterms:W3CDTF">2022-09-19T09:42:00Z</dcterms:created>
  <dcterms:modified xsi:type="dcterms:W3CDTF">2022-09-20T06:47:00Z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