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CCE" w:rsidRPr="00DF6CCE" w:rsidRDefault="00DF6CCE" w:rsidP="00DF6CCE">
      <w:pPr>
        <w:pStyle w:val="BodyText"/>
        <w:jc w:val="right"/>
        <w:outlineLvl w:val="0"/>
        <w:rPr>
          <w:b/>
          <w:iCs/>
          <w:lang w:val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spellStart"/>
      <w:r w:rsidRPr="00DF6CCE">
        <w:rPr>
          <w:b/>
          <w:i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Приложение</w:t>
      </w:r>
      <w:proofErr w:type="spellEnd"/>
    </w:p>
    <w:p w:rsidR="00DF6CCE" w:rsidRPr="00320AA1" w:rsidRDefault="00DF6CCE" w:rsidP="003376AA">
      <w:pPr>
        <w:pStyle w:val="Header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DF6CCE">
        <w:rPr>
          <w:rFonts w:ascii="Times New Roman" w:hAnsi="Times New Roman"/>
          <w:b/>
          <w:i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към</w:t>
      </w:r>
      <w:proofErr w:type="spellEnd"/>
      <w:r w:rsidRPr="00DF6CCE">
        <w:rPr>
          <w:rFonts w:ascii="Times New Roman" w:hAnsi="Times New Roman"/>
          <w:b/>
          <w:i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DF6CCE">
        <w:rPr>
          <w:rFonts w:ascii="Times New Roman" w:hAnsi="Times New Roman"/>
          <w:b/>
          <w:iCs/>
          <w:sz w:val="24"/>
          <w:szCs w:val="24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техничска</w:t>
      </w:r>
      <w:proofErr w:type="spellEnd"/>
      <w:r w:rsidRPr="00DF6CCE">
        <w:rPr>
          <w:rFonts w:ascii="Times New Roman" w:hAnsi="Times New Roman"/>
          <w:b/>
          <w:iCs/>
          <w:sz w:val="24"/>
          <w:szCs w:val="24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спецификация</w:t>
      </w:r>
      <w:r w:rsidRPr="00DF6CCE">
        <w:rPr>
          <w:rFonts w:ascii="Times New Roman" w:hAnsi="Times New Roman"/>
          <w:b/>
          <w:i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DF6CCE">
        <w:rPr>
          <w:rFonts w:ascii="Times New Roman" w:hAnsi="Times New Roman"/>
          <w:b/>
          <w:i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на</w:t>
      </w:r>
      <w:proofErr w:type="spellEnd"/>
      <w:r w:rsidRPr="00DF6CCE">
        <w:rPr>
          <w:rFonts w:ascii="Times New Roman" w:hAnsi="Times New Roman"/>
          <w:b/>
          <w:i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DF6CCE">
        <w:rPr>
          <w:rFonts w:ascii="Times New Roman" w:hAnsi="Times New Roman"/>
          <w:b/>
          <w:iCs/>
          <w:sz w:val="24"/>
          <w:szCs w:val="24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предмета</w:t>
      </w:r>
      <w:r w:rsidRPr="00DF6CCE">
        <w:rPr>
          <w:rFonts w:ascii="Times New Roman" w:hAnsi="Times New Roman"/>
          <w:b/>
          <w:i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DF6CCE">
        <w:rPr>
          <w:rFonts w:ascii="Times New Roman" w:hAnsi="Times New Roman"/>
          <w:b/>
          <w:i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на</w:t>
      </w:r>
      <w:proofErr w:type="spellEnd"/>
      <w:r w:rsidRPr="00DF6CCE">
        <w:rPr>
          <w:rFonts w:ascii="Times New Roman" w:hAnsi="Times New Roman"/>
          <w:b/>
          <w:i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DF6CCE">
        <w:rPr>
          <w:rFonts w:ascii="Times New Roman" w:hAnsi="Times New Roman"/>
          <w:b/>
          <w:i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поръчката</w:t>
      </w:r>
      <w:proofErr w:type="spellEnd"/>
    </w:p>
    <w:p w:rsidR="00DF6CCE" w:rsidRDefault="00A60DFF" w:rsidP="00DA0FD8">
      <w:pPr>
        <w:spacing w:after="0" w:line="240" w:lineRule="auto"/>
        <w:ind w:left="-284" w:firstLine="284"/>
        <w:jc w:val="center"/>
      </w:pPr>
      <w:r>
        <w:tab/>
      </w:r>
    </w:p>
    <w:p w:rsidR="00A60DFF" w:rsidRPr="00865333" w:rsidRDefault="00A60DFF" w:rsidP="00DA0FD8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  <w:r w:rsidRPr="00865333">
        <w:rPr>
          <w:rFonts w:ascii="Times New Roman" w:hAnsi="Times New Roman"/>
          <w:b/>
          <w:sz w:val="24"/>
          <w:szCs w:val="24"/>
        </w:rPr>
        <w:t>С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65333">
        <w:rPr>
          <w:rFonts w:ascii="Times New Roman" w:hAnsi="Times New Roman"/>
          <w:b/>
          <w:sz w:val="24"/>
          <w:szCs w:val="24"/>
        </w:rPr>
        <w:t>П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65333">
        <w:rPr>
          <w:rFonts w:ascii="Times New Roman" w:hAnsi="Times New Roman"/>
          <w:b/>
          <w:sz w:val="24"/>
          <w:szCs w:val="24"/>
        </w:rPr>
        <w:t>Р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65333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65333">
        <w:rPr>
          <w:rFonts w:ascii="Times New Roman" w:hAnsi="Times New Roman"/>
          <w:b/>
          <w:sz w:val="24"/>
          <w:szCs w:val="24"/>
        </w:rPr>
        <w:t>В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65333">
        <w:rPr>
          <w:rFonts w:ascii="Times New Roman" w:hAnsi="Times New Roman"/>
          <w:b/>
          <w:sz w:val="24"/>
          <w:szCs w:val="24"/>
        </w:rPr>
        <w:t>К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65333">
        <w:rPr>
          <w:rFonts w:ascii="Times New Roman" w:hAnsi="Times New Roman"/>
          <w:b/>
          <w:sz w:val="24"/>
          <w:szCs w:val="24"/>
        </w:rPr>
        <w:t xml:space="preserve">А </w:t>
      </w:r>
    </w:p>
    <w:p w:rsidR="00A60DFF" w:rsidRPr="004017B7" w:rsidRDefault="00A60DFF" w:rsidP="003376AA">
      <w:pPr>
        <w:spacing w:after="120" w:line="240" w:lineRule="auto"/>
        <w:ind w:left="-284" w:right="-18" w:firstLine="284"/>
        <w:jc w:val="center"/>
        <w:rPr>
          <w:rFonts w:ascii="Times New Roman" w:hAnsi="Times New Roman"/>
          <w:sz w:val="24"/>
          <w:szCs w:val="24"/>
        </w:rPr>
      </w:pPr>
      <w:r w:rsidRPr="004017B7">
        <w:rPr>
          <w:rFonts w:ascii="Times New Roman" w:hAnsi="Times New Roman"/>
          <w:sz w:val="24"/>
          <w:szCs w:val="24"/>
        </w:rPr>
        <w:t>за средно-месечната отчетна стойност на активите, които ще се застраховат по Обособена позиция № 2</w:t>
      </w:r>
    </w:p>
    <w:tbl>
      <w:tblPr>
        <w:tblW w:w="913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50"/>
        <w:gridCol w:w="1170"/>
        <w:gridCol w:w="1400"/>
        <w:gridCol w:w="1210"/>
        <w:gridCol w:w="1400"/>
      </w:tblGrid>
      <w:tr w:rsidR="003376AA" w:rsidRPr="003376AA" w:rsidTr="007461AC">
        <w:trPr>
          <w:trHeight w:val="369"/>
        </w:trPr>
        <w:tc>
          <w:tcPr>
            <w:tcW w:w="39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76AA" w:rsidRPr="003376AA" w:rsidRDefault="003376AA" w:rsidP="003376AA">
            <w:pPr>
              <w:spacing w:after="0" w:line="240" w:lineRule="auto"/>
              <w:ind w:left="-284" w:firstLine="284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bg-BG"/>
              </w:rPr>
            </w:pPr>
            <w:r w:rsidRPr="003376AA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bg-BG"/>
              </w:rPr>
              <w:t>Материален запас</w:t>
            </w:r>
          </w:p>
        </w:tc>
        <w:tc>
          <w:tcPr>
            <w:tcW w:w="1170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76AA" w:rsidRPr="003376AA" w:rsidRDefault="003376AA" w:rsidP="003376AA">
            <w:pPr>
              <w:spacing w:after="0" w:line="240" w:lineRule="auto"/>
              <w:ind w:left="-284" w:firstLine="284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bg-BG"/>
              </w:rPr>
            </w:pPr>
            <w:r w:rsidRPr="003376AA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bg-BG"/>
              </w:rPr>
              <w:t>Период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76AA" w:rsidRPr="003376AA" w:rsidRDefault="003376AA" w:rsidP="00337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4"/>
              </w:rPr>
            </w:pPr>
            <w:r w:rsidRPr="003376AA">
              <w:rPr>
                <w:rFonts w:ascii="Times New Roman" w:hAnsi="Times New Roman"/>
                <w:b/>
                <w:bCs/>
                <w:color w:val="000000"/>
                <w:szCs w:val="24"/>
              </w:rPr>
              <w:t>ПГХ Чирен</w:t>
            </w:r>
          </w:p>
        </w:tc>
        <w:tc>
          <w:tcPr>
            <w:tcW w:w="12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76AA" w:rsidRPr="003376AA" w:rsidRDefault="003376AA" w:rsidP="003376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3376AA">
              <w:rPr>
                <w:rFonts w:ascii="Times New Roman" w:hAnsi="Times New Roman"/>
                <w:b/>
                <w:bCs/>
                <w:color w:val="000000"/>
                <w:szCs w:val="24"/>
              </w:rPr>
              <w:t>Транзит Румъния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3376AA" w:rsidRPr="003376AA" w:rsidRDefault="003376AA" w:rsidP="003376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3376AA">
              <w:rPr>
                <w:rFonts w:ascii="Times New Roman" w:hAnsi="Times New Roman"/>
                <w:b/>
                <w:bCs/>
                <w:color w:val="000000"/>
                <w:szCs w:val="24"/>
              </w:rPr>
              <w:t>Общо</w:t>
            </w:r>
          </w:p>
        </w:tc>
      </w:tr>
      <w:tr w:rsidR="003376AA" w:rsidRPr="003376AA" w:rsidTr="007461AC">
        <w:trPr>
          <w:trHeight w:val="108"/>
        </w:trPr>
        <w:tc>
          <w:tcPr>
            <w:tcW w:w="39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76AA" w:rsidRPr="003376AA" w:rsidRDefault="003376AA" w:rsidP="003376AA">
            <w:pPr>
              <w:spacing w:after="0" w:line="240" w:lineRule="auto"/>
              <w:ind w:left="-284" w:firstLine="284"/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bg-BG"/>
              </w:rPr>
            </w:pPr>
          </w:p>
        </w:tc>
        <w:tc>
          <w:tcPr>
            <w:tcW w:w="1170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6AA" w:rsidRPr="003376AA" w:rsidRDefault="003376AA" w:rsidP="003376AA">
            <w:pPr>
              <w:spacing w:after="0" w:line="240" w:lineRule="auto"/>
              <w:ind w:left="-284" w:firstLine="284"/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76AA" w:rsidRPr="003376AA" w:rsidRDefault="003376AA" w:rsidP="003376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3376AA">
              <w:rPr>
                <w:rFonts w:ascii="Times New Roman" w:hAnsi="Times New Roman"/>
                <w:b/>
                <w:bCs/>
                <w:color w:val="000000"/>
                <w:szCs w:val="24"/>
              </w:rPr>
              <w:t>(</w:t>
            </w:r>
            <w:proofErr w:type="spellStart"/>
            <w:r w:rsidRPr="003376AA">
              <w:rPr>
                <w:rFonts w:ascii="Times New Roman" w:hAnsi="Times New Roman"/>
                <w:b/>
                <w:bCs/>
                <w:color w:val="000000"/>
                <w:szCs w:val="24"/>
              </w:rPr>
              <w:t>MWh</w:t>
            </w:r>
            <w:proofErr w:type="spellEnd"/>
            <w:r w:rsidRPr="003376AA">
              <w:rPr>
                <w:rFonts w:ascii="Times New Roman" w:hAnsi="Times New Roman"/>
                <w:b/>
                <w:bCs/>
                <w:color w:val="000000"/>
                <w:szCs w:val="24"/>
              </w:rPr>
              <w:t>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76AA" w:rsidRPr="003376AA" w:rsidRDefault="003376AA" w:rsidP="003376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3376AA">
              <w:rPr>
                <w:rFonts w:ascii="Times New Roman" w:hAnsi="Times New Roman"/>
                <w:b/>
                <w:bCs/>
                <w:color w:val="000000"/>
                <w:szCs w:val="24"/>
              </w:rPr>
              <w:t>(</w:t>
            </w:r>
            <w:proofErr w:type="spellStart"/>
            <w:r w:rsidRPr="003376AA">
              <w:rPr>
                <w:rFonts w:ascii="Times New Roman" w:hAnsi="Times New Roman"/>
                <w:b/>
                <w:bCs/>
                <w:color w:val="000000"/>
                <w:szCs w:val="24"/>
              </w:rPr>
              <w:t>MWh</w:t>
            </w:r>
            <w:proofErr w:type="spellEnd"/>
            <w:r w:rsidRPr="003376AA">
              <w:rPr>
                <w:rFonts w:ascii="Times New Roman" w:hAnsi="Times New Roman"/>
                <w:b/>
                <w:bCs/>
                <w:color w:val="000000"/>
                <w:szCs w:val="24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3376AA" w:rsidRPr="003376AA" w:rsidRDefault="003376AA" w:rsidP="003376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3376AA">
              <w:rPr>
                <w:rFonts w:ascii="Times New Roman" w:hAnsi="Times New Roman"/>
                <w:b/>
                <w:bCs/>
                <w:color w:val="000000"/>
                <w:szCs w:val="24"/>
              </w:rPr>
              <w:t>(</w:t>
            </w:r>
            <w:proofErr w:type="spellStart"/>
            <w:r w:rsidRPr="003376AA">
              <w:rPr>
                <w:rFonts w:ascii="Times New Roman" w:hAnsi="Times New Roman"/>
                <w:b/>
                <w:bCs/>
                <w:color w:val="000000"/>
                <w:szCs w:val="24"/>
              </w:rPr>
              <w:t>MWh</w:t>
            </w:r>
            <w:proofErr w:type="spellEnd"/>
            <w:r w:rsidRPr="003376AA">
              <w:rPr>
                <w:rFonts w:ascii="Times New Roman" w:hAnsi="Times New Roman"/>
                <w:b/>
                <w:bCs/>
                <w:color w:val="000000"/>
                <w:szCs w:val="24"/>
              </w:rPr>
              <w:t>)</w:t>
            </w:r>
          </w:p>
        </w:tc>
      </w:tr>
      <w:tr w:rsidR="003376AA" w:rsidRPr="00A37252" w:rsidTr="00A37252">
        <w:trPr>
          <w:trHeight w:val="207"/>
        </w:trPr>
        <w:tc>
          <w:tcPr>
            <w:tcW w:w="39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76AA" w:rsidRPr="00A37252" w:rsidRDefault="003376AA" w:rsidP="003376AA">
            <w:pPr>
              <w:spacing w:after="0" w:line="240" w:lineRule="auto"/>
              <w:ind w:left="-284" w:firstLine="284"/>
              <w:rPr>
                <w:rFonts w:ascii="Times New Roman" w:eastAsia="Times New Roman" w:hAnsi="Times New Roman"/>
                <w:color w:val="000000"/>
                <w:szCs w:val="24"/>
                <w:lang w:eastAsia="bg-BG"/>
              </w:rPr>
            </w:pPr>
            <w:r w:rsidRPr="00A37252">
              <w:rPr>
                <w:rFonts w:ascii="Times New Roman" w:eastAsia="Times New Roman" w:hAnsi="Times New Roman"/>
                <w:color w:val="000000"/>
                <w:szCs w:val="24"/>
                <w:lang w:eastAsia="bg-BG"/>
              </w:rPr>
              <w:t>Ми</w:t>
            </w:r>
            <w:r w:rsidR="007461AC" w:rsidRPr="00A37252">
              <w:rPr>
                <w:rFonts w:ascii="Times New Roman" w:eastAsia="Times New Roman" w:hAnsi="Times New Roman"/>
                <w:color w:val="000000"/>
                <w:szCs w:val="24"/>
                <w:lang w:eastAsia="bg-BG"/>
              </w:rPr>
              <w:t>нимални количества природен газ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76AA" w:rsidRPr="00A37252" w:rsidRDefault="003376AA" w:rsidP="00A37252">
            <w:pPr>
              <w:spacing w:after="0" w:line="240" w:lineRule="auto"/>
              <w:ind w:left="-284" w:firstLine="284"/>
              <w:jc w:val="right"/>
              <w:rPr>
                <w:rFonts w:ascii="Times New Roman" w:eastAsia="Times New Roman" w:hAnsi="Times New Roman"/>
                <w:color w:val="000000"/>
                <w:szCs w:val="24"/>
                <w:lang w:eastAsia="bg-BG"/>
              </w:rPr>
            </w:pPr>
            <w:r w:rsidRPr="00A37252">
              <w:rPr>
                <w:rFonts w:ascii="Times New Roman" w:eastAsia="Times New Roman" w:hAnsi="Times New Roman"/>
                <w:color w:val="000000"/>
                <w:szCs w:val="24"/>
                <w:lang w:eastAsia="bg-BG"/>
              </w:rPr>
              <w:t>Март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76AA" w:rsidRPr="00A37252" w:rsidRDefault="003376AA" w:rsidP="00A3725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37252">
              <w:rPr>
                <w:rFonts w:ascii="Times New Roman" w:hAnsi="Times New Roman"/>
                <w:color w:val="000000"/>
                <w:szCs w:val="24"/>
              </w:rPr>
              <w:t>191</w:t>
            </w:r>
            <w:r w:rsidR="007461AC" w:rsidRPr="00A37252">
              <w:rPr>
                <w:rFonts w:ascii="Times New Roman" w:hAnsi="Times New Roman"/>
                <w:color w:val="000000"/>
                <w:szCs w:val="24"/>
              </w:rPr>
              <w:t>,</w:t>
            </w:r>
            <w:r w:rsidRPr="00A37252">
              <w:rPr>
                <w:rFonts w:ascii="Times New Roman" w:hAnsi="Times New Roman"/>
                <w:color w:val="000000"/>
                <w:szCs w:val="24"/>
              </w:rPr>
              <w:t>55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76AA" w:rsidRPr="00A37252" w:rsidRDefault="00245AEA" w:rsidP="00A3725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37252">
              <w:rPr>
                <w:rFonts w:ascii="Times New Roman" w:hAnsi="Times New Roman"/>
                <w:color w:val="000000"/>
                <w:szCs w:val="24"/>
              </w:rPr>
              <w:t xml:space="preserve">83 </w:t>
            </w:r>
            <w:r w:rsidR="003376AA" w:rsidRPr="00A37252">
              <w:rPr>
                <w:rFonts w:ascii="Times New Roman" w:hAnsi="Times New Roman"/>
                <w:color w:val="000000"/>
                <w:szCs w:val="24"/>
              </w:rPr>
              <w:t>000</w:t>
            </w:r>
            <w:r w:rsidR="007461AC" w:rsidRPr="00A37252">
              <w:rPr>
                <w:rFonts w:ascii="Times New Roman" w:hAnsi="Times New Roman"/>
                <w:color w:val="000000"/>
                <w:szCs w:val="24"/>
              </w:rPr>
              <w:t>,</w:t>
            </w:r>
            <w:r w:rsidR="003376AA" w:rsidRPr="00A37252">
              <w:rPr>
                <w:rFonts w:ascii="Times New Roman" w:hAnsi="Times New Roman"/>
                <w:color w:val="000000"/>
                <w:szCs w:val="24"/>
              </w:rPr>
              <w:t>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3376AA" w:rsidRPr="00A37252" w:rsidRDefault="003376AA" w:rsidP="00A3725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A37252">
              <w:rPr>
                <w:rFonts w:ascii="Times New Roman" w:hAnsi="Times New Roman"/>
                <w:b/>
                <w:bCs/>
                <w:color w:val="000000"/>
                <w:szCs w:val="24"/>
              </w:rPr>
              <w:t>83</w:t>
            </w:r>
            <w:r w:rsidR="00245AEA" w:rsidRPr="00A37252">
              <w:rPr>
                <w:rFonts w:ascii="Times New Roman" w:hAnsi="Times New Roman"/>
                <w:b/>
                <w:bCs/>
                <w:color w:val="000000"/>
                <w:szCs w:val="24"/>
              </w:rPr>
              <w:t xml:space="preserve"> </w:t>
            </w:r>
            <w:r w:rsidRPr="00A37252">
              <w:rPr>
                <w:rFonts w:ascii="Times New Roman" w:hAnsi="Times New Roman"/>
                <w:b/>
                <w:bCs/>
                <w:color w:val="000000"/>
                <w:szCs w:val="24"/>
              </w:rPr>
              <w:t>191</w:t>
            </w:r>
            <w:r w:rsidR="007461AC" w:rsidRPr="00A37252">
              <w:rPr>
                <w:rFonts w:ascii="Times New Roman" w:hAnsi="Times New Roman"/>
                <w:b/>
                <w:bCs/>
                <w:color w:val="000000"/>
                <w:szCs w:val="24"/>
              </w:rPr>
              <w:t>,</w:t>
            </w:r>
            <w:r w:rsidRPr="00A37252">
              <w:rPr>
                <w:rFonts w:ascii="Times New Roman" w:hAnsi="Times New Roman"/>
                <w:b/>
                <w:bCs/>
                <w:color w:val="000000"/>
                <w:szCs w:val="24"/>
              </w:rPr>
              <w:t>55</w:t>
            </w:r>
          </w:p>
        </w:tc>
      </w:tr>
      <w:tr w:rsidR="00D61536" w:rsidRPr="00A37252" w:rsidTr="00A37252">
        <w:trPr>
          <w:trHeight w:val="252"/>
        </w:trPr>
        <w:tc>
          <w:tcPr>
            <w:tcW w:w="39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61536" w:rsidRPr="00A37252" w:rsidRDefault="00D61536" w:rsidP="00D61536">
            <w:pPr>
              <w:spacing w:after="0" w:line="240" w:lineRule="auto"/>
              <w:ind w:left="-284" w:firstLine="284"/>
              <w:rPr>
                <w:rFonts w:ascii="Times New Roman" w:eastAsia="Times New Roman" w:hAnsi="Times New Roman"/>
                <w:color w:val="000000"/>
                <w:szCs w:val="24"/>
                <w:lang w:eastAsia="bg-BG"/>
              </w:rPr>
            </w:pPr>
            <w:r w:rsidRPr="00A37252">
              <w:rPr>
                <w:rFonts w:ascii="Times New Roman" w:eastAsia="Times New Roman" w:hAnsi="Times New Roman"/>
                <w:color w:val="000000"/>
                <w:szCs w:val="24"/>
                <w:lang w:eastAsia="bg-BG"/>
              </w:rPr>
              <w:t>Максимални количества природен газ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1536" w:rsidRPr="00A37252" w:rsidRDefault="00D61536" w:rsidP="00A37252">
            <w:pPr>
              <w:spacing w:after="0" w:line="240" w:lineRule="auto"/>
              <w:ind w:left="-284" w:firstLine="284"/>
              <w:jc w:val="right"/>
              <w:rPr>
                <w:rFonts w:ascii="Times New Roman" w:eastAsia="Times New Roman" w:hAnsi="Times New Roman"/>
                <w:color w:val="000000"/>
                <w:szCs w:val="24"/>
                <w:lang w:eastAsia="bg-BG"/>
              </w:rPr>
            </w:pPr>
            <w:r w:rsidRPr="00A37252">
              <w:rPr>
                <w:rFonts w:ascii="Times New Roman" w:eastAsia="Times New Roman" w:hAnsi="Times New Roman"/>
                <w:color w:val="000000"/>
                <w:szCs w:val="24"/>
                <w:lang w:eastAsia="bg-BG"/>
              </w:rPr>
              <w:t>Септември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1536" w:rsidRPr="00A37252" w:rsidRDefault="00D61536" w:rsidP="00A37252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37252">
              <w:rPr>
                <w:rFonts w:ascii="Times New Roman" w:hAnsi="Times New Roman"/>
                <w:color w:val="000000"/>
              </w:rPr>
              <w:t>3 498 191,55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1536" w:rsidRPr="00A37252" w:rsidRDefault="00D61536" w:rsidP="00A37252">
            <w:pPr>
              <w:jc w:val="right"/>
              <w:rPr>
                <w:rFonts w:ascii="Times New Roman" w:hAnsi="Times New Roman"/>
                <w:color w:val="000000"/>
              </w:rPr>
            </w:pPr>
            <w:r w:rsidRPr="00A37252">
              <w:rPr>
                <w:rFonts w:ascii="Times New Roman" w:hAnsi="Times New Roman"/>
                <w:color w:val="000000"/>
              </w:rPr>
              <w:t>83 000,00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D61536" w:rsidRPr="00A37252" w:rsidRDefault="00D61536" w:rsidP="00A37252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A37252">
              <w:rPr>
                <w:rFonts w:ascii="Times New Roman" w:hAnsi="Times New Roman"/>
                <w:b/>
                <w:bCs/>
                <w:color w:val="000000"/>
              </w:rPr>
              <w:t>3 581 191,55</w:t>
            </w:r>
          </w:p>
        </w:tc>
        <w:bookmarkStart w:id="0" w:name="_GoBack"/>
        <w:bookmarkEnd w:id="0"/>
      </w:tr>
      <w:tr w:rsidR="00D61536" w:rsidRPr="00A37252" w:rsidTr="00A37252">
        <w:trPr>
          <w:trHeight w:val="459"/>
        </w:trPr>
        <w:tc>
          <w:tcPr>
            <w:tcW w:w="39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61536" w:rsidRPr="00A37252" w:rsidRDefault="00D61536" w:rsidP="00D615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4"/>
                <w:lang w:eastAsia="bg-BG"/>
              </w:rPr>
            </w:pPr>
            <w:r w:rsidRPr="00A37252">
              <w:rPr>
                <w:rFonts w:ascii="Times New Roman" w:eastAsia="Times New Roman" w:hAnsi="Times New Roman"/>
                <w:color w:val="000000"/>
                <w:szCs w:val="24"/>
                <w:lang w:eastAsia="bg-BG"/>
              </w:rPr>
              <w:t>Средно-месечно кол. природен газ през годината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1536" w:rsidRPr="00A37252" w:rsidRDefault="00D61536" w:rsidP="00A37252">
            <w:pPr>
              <w:spacing w:after="0" w:line="240" w:lineRule="auto"/>
              <w:ind w:left="-284" w:firstLine="284"/>
              <w:jc w:val="right"/>
              <w:rPr>
                <w:rFonts w:ascii="Times New Roman" w:eastAsia="Times New Roman" w:hAnsi="Times New Roman"/>
                <w:color w:val="000000"/>
                <w:szCs w:val="24"/>
                <w:lang w:eastAsia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1536" w:rsidRPr="00A37252" w:rsidRDefault="00D61536" w:rsidP="00A37252">
            <w:pPr>
              <w:jc w:val="right"/>
              <w:rPr>
                <w:rFonts w:ascii="Times New Roman" w:hAnsi="Times New Roman"/>
                <w:color w:val="000000"/>
              </w:rPr>
            </w:pPr>
            <w:r w:rsidRPr="00A37252">
              <w:rPr>
                <w:rFonts w:ascii="Times New Roman" w:hAnsi="Times New Roman"/>
                <w:color w:val="000000"/>
              </w:rPr>
              <w:t>1 840 410,62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1536" w:rsidRPr="00A37252" w:rsidRDefault="00D61536" w:rsidP="00A37252">
            <w:pPr>
              <w:jc w:val="right"/>
              <w:rPr>
                <w:rFonts w:ascii="Times New Roman" w:hAnsi="Times New Roman"/>
                <w:color w:val="000000"/>
              </w:rPr>
            </w:pPr>
            <w:r w:rsidRPr="00A37252">
              <w:rPr>
                <w:rFonts w:ascii="Times New Roman" w:hAnsi="Times New Roman"/>
                <w:color w:val="000000"/>
              </w:rPr>
              <w:t>83 000,00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D61536" w:rsidRPr="00A37252" w:rsidRDefault="00D61536" w:rsidP="00A37252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A37252">
              <w:rPr>
                <w:rFonts w:ascii="Times New Roman" w:hAnsi="Times New Roman"/>
                <w:b/>
                <w:bCs/>
                <w:color w:val="000000"/>
              </w:rPr>
              <w:t>1 923 410,62</w:t>
            </w:r>
          </w:p>
        </w:tc>
      </w:tr>
    </w:tbl>
    <w:p w:rsidR="00E8465D" w:rsidRPr="00A37252" w:rsidRDefault="00E8465D" w:rsidP="00DA0FD8">
      <w:pPr>
        <w:tabs>
          <w:tab w:val="left" w:pos="1130"/>
        </w:tabs>
        <w:ind w:left="-284" w:firstLine="284"/>
        <w:rPr>
          <w:rFonts w:ascii="Times New Roman" w:hAnsi="Times New Roman"/>
          <w:sz w:val="24"/>
          <w:szCs w:val="24"/>
        </w:rPr>
      </w:pPr>
    </w:p>
    <w:tbl>
      <w:tblPr>
        <w:tblW w:w="91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0"/>
        <w:gridCol w:w="1530"/>
        <w:gridCol w:w="1350"/>
        <w:gridCol w:w="1560"/>
      </w:tblGrid>
      <w:tr w:rsidR="00A60DFF" w:rsidRPr="00A37252" w:rsidTr="003376AA">
        <w:trPr>
          <w:trHeight w:val="615"/>
        </w:trPr>
        <w:tc>
          <w:tcPr>
            <w:tcW w:w="4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DFF" w:rsidRPr="00A37252" w:rsidRDefault="00A60DFF" w:rsidP="00DA0FD8">
            <w:pPr>
              <w:spacing w:after="0" w:line="240" w:lineRule="auto"/>
              <w:ind w:left="-284" w:firstLine="284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bg-BG"/>
              </w:rPr>
            </w:pPr>
            <w:r w:rsidRPr="00A37252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bg-BG"/>
              </w:rPr>
              <w:t>Себестойност на материалния запас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0DFF" w:rsidRPr="00A37252" w:rsidRDefault="00A60DFF" w:rsidP="00DA0FD8">
            <w:pPr>
              <w:spacing w:after="0" w:line="240" w:lineRule="auto"/>
              <w:ind w:left="-284" w:firstLine="284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bg-BG"/>
              </w:rPr>
            </w:pPr>
            <w:r w:rsidRPr="00A37252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bg-BG"/>
              </w:rPr>
              <w:t>ПГХ Чирен</w:t>
            </w: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0DFF" w:rsidRPr="00A37252" w:rsidRDefault="00A60DFF" w:rsidP="00DA0FD8">
            <w:pPr>
              <w:spacing w:after="0" w:line="240" w:lineRule="auto"/>
              <w:ind w:left="-284" w:firstLine="284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bg-BG"/>
              </w:rPr>
            </w:pPr>
            <w:r w:rsidRPr="00A37252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bg-BG"/>
              </w:rPr>
              <w:t>Транзит Румъния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60DFF" w:rsidRPr="00A37252" w:rsidRDefault="00A60DFF" w:rsidP="00DA0FD8">
            <w:pPr>
              <w:spacing w:after="0" w:line="240" w:lineRule="auto"/>
              <w:ind w:left="-284" w:firstLine="284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bg-BG"/>
              </w:rPr>
            </w:pPr>
            <w:r w:rsidRPr="00A37252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bg-BG"/>
              </w:rPr>
              <w:t>Общо в лева</w:t>
            </w:r>
          </w:p>
        </w:tc>
      </w:tr>
      <w:tr w:rsidR="003376AA" w:rsidRPr="00A37252" w:rsidTr="00A37252">
        <w:trPr>
          <w:trHeight w:val="270"/>
        </w:trPr>
        <w:tc>
          <w:tcPr>
            <w:tcW w:w="4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76AA" w:rsidRPr="00A37252" w:rsidRDefault="003376AA" w:rsidP="007461AC">
            <w:pPr>
              <w:spacing w:after="0" w:line="240" w:lineRule="auto"/>
              <w:ind w:left="-284" w:firstLine="284"/>
              <w:rPr>
                <w:rFonts w:ascii="Times New Roman" w:eastAsia="Times New Roman" w:hAnsi="Times New Roman"/>
                <w:bCs/>
                <w:color w:val="000000"/>
                <w:szCs w:val="24"/>
                <w:lang w:eastAsia="bg-BG"/>
              </w:rPr>
            </w:pPr>
            <w:r w:rsidRPr="00A37252">
              <w:rPr>
                <w:rFonts w:ascii="Times New Roman" w:eastAsia="Times New Roman" w:hAnsi="Times New Roman"/>
                <w:bCs/>
                <w:color w:val="000000"/>
                <w:szCs w:val="24"/>
                <w:lang w:eastAsia="bg-BG"/>
              </w:rPr>
              <w:t xml:space="preserve">Прогнозна себестойност за </w:t>
            </w:r>
            <w:proofErr w:type="spellStart"/>
            <w:r w:rsidRPr="00A37252">
              <w:rPr>
                <w:rFonts w:ascii="Times New Roman" w:eastAsia="Times New Roman" w:hAnsi="Times New Roman"/>
                <w:bCs/>
                <w:color w:val="000000"/>
                <w:szCs w:val="24"/>
                <w:lang w:eastAsia="bg-BG"/>
              </w:rPr>
              <w:t>MWh</w:t>
            </w:r>
            <w:proofErr w:type="spellEnd"/>
            <w:r w:rsidRPr="00A37252">
              <w:rPr>
                <w:rFonts w:ascii="Times New Roman" w:eastAsia="Times New Roman" w:hAnsi="Times New Roman"/>
                <w:bCs/>
                <w:color w:val="000000"/>
                <w:szCs w:val="24"/>
                <w:lang w:eastAsia="bg-BG"/>
              </w:rPr>
              <w:t xml:space="preserve"> природен газ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76AA" w:rsidRPr="00A37252" w:rsidRDefault="003376AA" w:rsidP="00A37252">
            <w:pPr>
              <w:spacing w:after="0" w:line="240" w:lineRule="auto"/>
              <w:ind w:left="-284" w:firstLine="284"/>
              <w:jc w:val="right"/>
              <w:rPr>
                <w:rFonts w:ascii="Times New Roman" w:eastAsia="Times New Roman" w:hAnsi="Times New Roman"/>
                <w:bCs/>
                <w:color w:val="000000"/>
                <w:szCs w:val="24"/>
                <w:lang w:eastAsia="bg-BG"/>
              </w:rPr>
            </w:pPr>
            <w:r w:rsidRPr="00A37252">
              <w:rPr>
                <w:rFonts w:ascii="Times New Roman" w:eastAsia="Times New Roman" w:hAnsi="Times New Roman"/>
                <w:bCs/>
                <w:color w:val="000000"/>
                <w:szCs w:val="24"/>
                <w:lang w:eastAsia="bg-BG"/>
              </w:rPr>
              <w:t>42</w:t>
            </w:r>
            <w:r w:rsidR="007461AC" w:rsidRPr="00A37252">
              <w:rPr>
                <w:rFonts w:ascii="Times New Roman" w:eastAsia="Times New Roman" w:hAnsi="Times New Roman"/>
                <w:bCs/>
                <w:color w:val="000000"/>
                <w:szCs w:val="24"/>
                <w:lang w:eastAsia="bg-BG"/>
              </w:rPr>
              <w:t>,</w:t>
            </w:r>
            <w:r w:rsidRPr="00A37252">
              <w:rPr>
                <w:rFonts w:ascii="Times New Roman" w:eastAsia="Times New Roman" w:hAnsi="Times New Roman"/>
                <w:bCs/>
                <w:color w:val="000000"/>
                <w:szCs w:val="24"/>
                <w:lang w:eastAsia="bg-BG"/>
              </w:rPr>
              <w:t>7</w:t>
            </w:r>
            <w:r w:rsidR="00245AEA" w:rsidRPr="00A37252">
              <w:rPr>
                <w:rFonts w:ascii="Times New Roman" w:eastAsia="Times New Roman" w:hAnsi="Times New Roman"/>
                <w:bCs/>
                <w:color w:val="000000"/>
                <w:szCs w:val="24"/>
                <w:lang w:eastAsia="bg-BG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76AA" w:rsidRPr="00A37252" w:rsidRDefault="003376AA" w:rsidP="00A37252">
            <w:pPr>
              <w:spacing w:after="0" w:line="240" w:lineRule="auto"/>
              <w:ind w:left="-284" w:firstLine="284"/>
              <w:jc w:val="right"/>
              <w:rPr>
                <w:rFonts w:ascii="Times New Roman" w:eastAsia="Times New Roman" w:hAnsi="Times New Roman"/>
                <w:bCs/>
                <w:color w:val="000000"/>
                <w:szCs w:val="24"/>
                <w:lang w:eastAsia="bg-BG"/>
              </w:rPr>
            </w:pPr>
            <w:r w:rsidRPr="00A37252">
              <w:rPr>
                <w:rFonts w:ascii="Times New Roman" w:eastAsia="Times New Roman" w:hAnsi="Times New Roman"/>
                <w:bCs/>
                <w:color w:val="000000"/>
                <w:szCs w:val="24"/>
                <w:lang w:eastAsia="bg-BG"/>
              </w:rPr>
              <w:t>42</w:t>
            </w:r>
            <w:r w:rsidR="007461AC" w:rsidRPr="00A37252">
              <w:rPr>
                <w:rFonts w:ascii="Times New Roman" w:eastAsia="Times New Roman" w:hAnsi="Times New Roman"/>
                <w:bCs/>
                <w:color w:val="000000"/>
                <w:szCs w:val="24"/>
                <w:lang w:eastAsia="bg-BG"/>
              </w:rPr>
              <w:t>,</w:t>
            </w:r>
            <w:r w:rsidRPr="00A37252">
              <w:rPr>
                <w:rFonts w:ascii="Times New Roman" w:eastAsia="Times New Roman" w:hAnsi="Times New Roman"/>
                <w:bCs/>
                <w:color w:val="000000"/>
                <w:szCs w:val="24"/>
                <w:lang w:eastAsia="bg-BG"/>
              </w:rPr>
              <w:t>7</w:t>
            </w:r>
            <w:r w:rsidR="00245AEA" w:rsidRPr="00A37252">
              <w:rPr>
                <w:rFonts w:ascii="Times New Roman" w:eastAsia="Times New Roman" w:hAnsi="Times New Roman"/>
                <w:bCs/>
                <w:color w:val="000000"/>
                <w:szCs w:val="24"/>
                <w:lang w:eastAsia="bg-BG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3376AA" w:rsidRPr="00A37252" w:rsidRDefault="003376AA" w:rsidP="00A37252">
            <w:pPr>
              <w:spacing w:after="0" w:line="240" w:lineRule="auto"/>
              <w:ind w:left="-284" w:firstLine="284"/>
              <w:jc w:val="right"/>
              <w:rPr>
                <w:rFonts w:ascii="Times New Roman" w:eastAsia="Times New Roman" w:hAnsi="Times New Roman"/>
                <w:bCs/>
                <w:color w:val="000000"/>
                <w:szCs w:val="24"/>
                <w:lang w:eastAsia="bg-BG"/>
              </w:rPr>
            </w:pPr>
            <w:r w:rsidRPr="00A37252">
              <w:rPr>
                <w:rFonts w:ascii="Times New Roman" w:eastAsia="Times New Roman" w:hAnsi="Times New Roman"/>
                <w:bCs/>
                <w:color w:val="000000"/>
                <w:szCs w:val="24"/>
                <w:lang w:eastAsia="bg-BG"/>
              </w:rPr>
              <w:t>42</w:t>
            </w:r>
            <w:r w:rsidR="007461AC" w:rsidRPr="00A37252">
              <w:rPr>
                <w:rFonts w:ascii="Times New Roman" w:eastAsia="Times New Roman" w:hAnsi="Times New Roman"/>
                <w:bCs/>
                <w:color w:val="000000"/>
                <w:szCs w:val="24"/>
                <w:lang w:eastAsia="bg-BG"/>
              </w:rPr>
              <w:t>,</w:t>
            </w:r>
            <w:r w:rsidRPr="00A37252">
              <w:rPr>
                <w:rFonts w:ascii="Times New Roman" w:eastAsia="Times New Roman" w:hAnsi="Times New Roman"/>
                <w:bCs/>
                <w:color w:val="000000"/>
                <w:szCs w:val="24"/>
                <w:lang w:eastAsia="bg-BG"/>
              </w:rPr>
              <w:t>7</w:t>
            </w:r>
            <w:r w:rsidR="00245AEA" w:rsidRPr="00A37252">
              <w:rPr>
                <w:rFonts w:ascii="Times New Roman" w:eastAsia="Times New Roman" w:hAnsi="Times New Roman"/>
                <w:bCs/>
                <w:color w:val="000000"/>
                <w:szCs w:val="24"/>
                <w:lang w:eastAsia="bg-BG"/>
              </w:rPr>
              <w:t>0</w:t>
            </w:r>
          </w:p>
        </w:tc>
      </w:tr>
      <w:tr w:rsidR="00D61536" w:rsidRPr="00A37252" w:rsidTr="00A37252">
        <w:trPr>
          <w:trHeight w:val="252"/>
        </w:trPr>
        <w:tc>
          <w:tcPr>
            <w:tcW w:w="4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1536" w:rsidRPr="00A37252" w:rsidRDefault="00D61536" w:rsidP="00D61536">
            <w:pPr>
              <w:spacing w:after="0" w:line="240" w:lineRule="auto"/>
              <w:ind w:left="-284" w:firstLine="284"/>
              <w:rPr>
                <w:rFonts w:ascii="Times New Roman" w:eastAsia="Times New Roman" w:hAnsi="Times New Roman"/>
                <w:bCs/>
                <w:color w:val="000000"/>
                <w:szCs w:val="24"/>
                <w:lang w:eastAsia="bg-BG"/>
              </w:rPr>
            </w:pPr>
            <w:r w:rsidRPr="00A37252">
              <w:rPr>
                <w:rFonts w:ascii="Times New Roman" w:eastAsia="Times New Roman" w:hAnsi="Times New Roman"/>
                <w:bCs/>
                <w:color w:val="000000"/>
                <w:szCs w:val="24"/>
                <w:lang w:eastAsia="bg-BG"/>
              </w:rPr>
              <w:t>Максимална застрахователна стойност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1536" w:rsidRPr="00A37252" w:rsidRDefault="00D61536" w:rsidP="00A37252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37252">
              <w:rPr>
                <w:rFonts w:ascii="Times New Roman" w:hAnsi="Times New Roman"/>
                <w:color w:val="000000"/>
              </w:rPr>
              <w:t>145 881 489,60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1536" w:rsidRPr="00A37252" w:rsidRDefault="00D61536" w:rsidP="00A37252">
            <w:pPr>
              <w:jc w:val="right"/>
              <w:rPr>
                <w:rFonts w:ascii="Times New Roman" w:hAnsi="Times New Roman"/>
                <w:color w:val="000000"/>
              </w:rPr>
            </w:pPr>
            <w:r w:rsidRPr="00A37252">
              <w:rPr>
                <w:rFonts w:ascii="Times New Roman" w:hAnsi="Times New Roman"/>
                <w:color w:val="000000"/>
              </w:rPr>
              <w:t>3 753 160,40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D61536" w:rsidRPr="00A37252" w:rsidRDefault="00D61536" w:rsidP="00A37252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A37252">
              <w:rPr>
                <w:rFonts w:ascii="Times New Roman" w:hAnsi="Times New Roman"/>
                <w:b/>
                <w:bCs/>
                <w:color w:val="000000"/>
              </w:rPr>
              <w:t>149 634 650,00</w:t>
            </w:r>
          </w:p>
        </w:tc>
      </w:tr>
      <w:tr w:rsidR="00D61536" w:rsidRPr="00A37252" w:rsidTr="00A37252">
        <w:trPr>
          <w:trHeight w:val="243"/>
        </w:trPr>
        <w:tc>
          <w:tcPr>
            <w:tcW w:w="4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1536" w:rsidRPr="00A37252" w:rsidRDefault="00D61536" w:rsidP="00D61536">
            <w:pPr>
              <w:spacing w:after="0" w:line="240" w:lineRule="auto"/>
              <w:ind w:left="-284" w:firstLine="284"/>
              <w:rPr>
                <w:rFonts w:ascii="Times New Roman" w:eastAsia="Times New Roman" w:hAnsi="Times New Roman"/>
                <w:bCs/>
                <w:color w:val="000000"/>
                <w:szCs w:val="24"/>
                <w:lang w:eastAsia="bg-BG"/>
              </w:rPr>
            </w:pPr>
            <w:r w:rsidRPr="00A37252">
              <w:rPr>
                <w:rFonts w:ascii="Times New Roman" w:eastAsia="Times New Roman" w:hAnsi="Times New Roman"/>
                <w:bCs/>
                <w:color w:val="000000"/>
                <w:szCs w:val="24"/>
                <w:lang w:eastAsia="bg-BG"/>
              </w:rPr>
              <w:t>Средно-месечна застрахователна стойност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1536" w:rsidRPr="00A37252" w:rsidRDefault="00D61536" w:rsidP="00A37252">
            <w:pPr>
              <w:jc w:val="right"/>
              <w:rPr>
                <w:rFonts w:ascii="Times New Roman" w:hAnsi="Times New Roman"/>
                <w:color w:val="000000"/>
              </w:rPr>
            </w:pPr>
            <w:r w:rsidRPr="00A37252">
              <w:rPr>
                <w:rFonts w:ascii="Times New Roman" w:hAnsi="Times New Roman"/>
                <w:color w:val="000000"/>
              </w:rPr>
              <w:t>77 701 417,44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1536" w:rsidRPr="00A37252" w:rsidRDefault="00D61536" w:rsidP="00A37252">
            <w:pPr>
              <w:jc w:val="right"/>
              <w:rPr>
                <w:rFonts w:ascii="Times New Roman" w:hAnsi="Times New Roman"/>
                <w:color w:val="000000"/>
              </w:rPr>
            </w:pPr>
            <w:r w:rsidRPr="00A37252">
              <w:rPr>
                <w:rFonts w:ascii="Times New Roman" w:hAnsi="Times New Roman"/>
                <w:color w:val="000000"/>
              </w:rPr>
              <w:t>3 544 373,90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D61536" w:rsidRPr="00A37252" w:rsidRDefault="00D61536" w:rsidP="00A37252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A37252">
              <w:rPr>
                <w:rFonts w:ascii="Times New Roman" w:hAnsi="Times New Roman"/>
                <w:b/>
                <w:bCs/>
                <w:color w:val="000000"/>
              </w:rPr>
              <w:t>81 245 791,34</w:t>
            </w:r>
          </w:p>
        </w:tc>
      </w:tr>
    </w:tbl>
    <w:p w:rsidR="003376AA" w:rsidRDefault="003376AA" w:rsidP="00DA0FD8">
      <w:pPr>
        <w:tabs>
          <w:tab w:val="left" w:pos="1130"/>
        </w:tabs>
        <w:ind w:left="-284" w:firstLine="284"/>
        <w:rPr>
          <w:rFonts w:ascii="Times New Roman" w:hAnsi="Times New Roman"/>
        </w:rPr>
      </w:pPr>
    </w:p>
    <w:p w:rsidR="00D61536" w:rsidRDefault="00D61536" w:rsidP="00DA0FD8">
      <w:pPr>
        <w:tabs>
          <w:tab w:val="left" w:pos="1130"/>
        </w:tabs>
        <w:ind w:left="-284" w:firstLine="284"/>
        <w:rPr>
          <w:rFonts w:ascii="Times New Roman" w:hAnsi="Times New Roman"/>
        </w:rPr>
      </w:pPr>
      <w:r>
        <w:rPr>
          <w:rFonts w:ascii="Times New Roman" w:hAnsi="Times New Roman"/>
          <w:noProof/>
          <w:lang w:val="en-US"/>
        </w:rPr>
        <w:drawing>
          <wp:inline distT="0" distB="0" distL="0" distR="0" wp14:anchorId="5AC15CF7">
            <wp:extent cx="5773420" cy="2395855"/>
            <wp:effectExtent l="0" t="0" r="0" b="444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3420" cy="2395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61536" w:rsidRDefault="00D61536" w:rsidP="00DA0FD8">
      <w:pPr>
        <w:tabs>
          <w:tab w:val="left" w:pos="1130"/>
        </w:tabs>
        <w:ind w:left="-284" w:firstLine="284"/>
        <w:rPr>
          <w:rFonts w:ascii="Times New Roman" w:hAnsi="Times New Roman"/>
        </w:rPr>
      </w:pPr>
    </w:p>
    <w:p w:rsidR="003376AA" w:rsidRPr="00DF6CCE" w:rsidRDefault="003376AA" w:rsidP="00DA0FD8">
      <w:pPr>
        <w:tabs>
          <w:tab w:val="left" w:pos="1130"/>
        </w:tabs>
        <w:ind w:left="-284" w:firstLine="284"/>
        <w:rPr>
          <w:rFonts w:ascii="Times New Roman" w:hAnsi="Times New Roman"/>
        </w:rPr>
      </w:pPr>
      <w:r>
        <w:rPr>
          <w:noProof/>
          <w:lang w:val="en-US"/>
        </w:rPr>
        <w:drawing>
          <wp:inline distT="0" distB="0" distL="0" distR="0" wp14:anchorId="45CF95F2" wp14:editId="74C0E517">
            <wp:extent cx="5773420" cy="2472055"/>
            <wp:effectExtent l="0" t="0" r="17780" b="4445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3376AA" w:rsidRPr="00DF6CCE" w:rsidSect="00DF6CCE"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DFF"/>
    <w:rsid w:val="00195FFB"/>
    <w:rsid w:val="00245AEA"/>
    <w:rsid w:val="003376AA"/>
    <w:rsid w:val="003607FC"/>
    <w:rsid w:val="005579A6"/>
    <w:rsid w:val="007461AC"/>
    <w:rsid w:val="0097497F"/>
    <w:rsid w:val="009B5ED8"/>
    <w:rsid w:val="00A37252"/>
    <w:rsid w:val="00A60DFF"/>
    <w:rsid w:val="00D61536"/>
    <w:rsid w:val="00DA0FD8"/>
    <w:rsid w:val="00DF6CCE"/>
    <w:rsid w:val="00E84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5E379B-D2C2-4D93-B6C6-0C1AA380C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0DF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6CCE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DF6CCE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BodyText">
    <w:name w:val="Body Text"/>
    <w:basedOn w:val="Normal"/>
    <w:link w:val="BodyTextChar"/>
    <w:rsid w:val="00DF6CCE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x-none"/>
    </w:rPr>
  </w:style>
  <w:style w:type="character" w:customStyle="1" w:styleId="BodyTextChar">
    <w:name w:val="Body Text Char"/>
    <w:basedOn w:val="DefaultParagraphFont"/>
    <w:link w:val="BodyText"/>
    <w:rsid w:val="00DF6CCE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6C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6CC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9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\\ajurandapis\Finance$\Financial%20Reporting\Insurance\2019\2_Prilozh_OP_%202_Tehn_Spec%202019%20Real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cap="none" spc="2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bg-BG"/>
              <a:t>Количество природен газ в тразитна газопреносна система в Р.</a:t>
            </a:r>
            <a:r>
              <a:rPr lang="en-US"/>
              <a:t> </a:t>
            </a:r>
            <a:r>
              <a:rPr lang="bg-BG"/>
              <a:t>Румъния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cap="none" spc="2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en-US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8.4467684666564444E-2"/>
          <c:y val="0.17171296296296296"/>
          <c:w val="0.89453193350831151"/>
          <c:h val="0.60223279381743944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Sheet1!$A$18</c:f>
              <c:strCache>
                <c:ptCount val="1"/>
                <c:pt idx="0">
                  <c:v>количества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tint val="50000"/>
                    <a:satMod val="300000"/>
                  </a:schemeClr>
                </a:gs>
                <a:gs pos="35000">
                  <a:schemeClr val="accent1">
                    <a:tint val="37000"/>
                    <a:satMod val="300000"/>
                  </a:schemeClr>
                </a:gs>
                <a:gs pos="100000">
                  <a:schemeClr val="accent1">
                    <a:tint val="15000"/>
                    <a:satMod val="350000"/>
                  </a:schemeClr>
                </a:gs>
              </a:gsLst>
              <a:lin ang="16200000" scaled="1"/>
            </a:gradFill>
            <a:ln w="9525" cap="flat" cmpd="sng" algn="ctr">
              <a:solidFill>
                <a:schemeClr val="accent1">
                  <a:shade val="95000"/>
                </a:schemeClr>
              </a:solidFill>
              <a:round/>
            </a:ln>
            <a:effectLst>
              <a:outerShdw blurRad="40000" dist="20000" dir="5400000" rotWithShape="0">
                <a:srgbClr val="000000">
                  <a:alpha val="38000"/>
                </a:srgbClr>
              </a:outerShdw>
            </a:effectLst>
            <a:sp3d contourW="9525">
              <a:contourClr>
                <a:schemeClr val="accent1">
                  <a:shade val="95000"/>
                </a:schemeClr>
              </a:contourClr>
            </a:sp3d>
          </c:spPr>
          <c:invertIfNegative val="0"/>
          <c:dLbls>
            <c:dLbl>
              <c:idx val="11"/>
              <c:layout>
                <c:manualLayout>
                  <c:x val="5.5788077084293189E-2"/>
                  <c:y val="-3.06607255906523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en-US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Sheet1!$B$11:$M$11</c:f>
              <c:strCache>
                <c:ptCount val="12"/>
                <c:pt idx="0">
                  <c:v>Януари</c:v>
                </c:pt>
                <c:pt idx="1">
                  <c:v>Февруари</c:v>
                </c:pt>
                <c:pt idx="2">
                  <c:v>Март</c:v>
                </c:pt>
                <c:pt idx="3">
                  <c:v>Април</c:v>
                </c:pt>
                <c:pt idx="4">
                  <c:v>Май</c:v>
                </c:pt>
                <c:pt idx="5">
                  <c:v>Юни</c:v>
                </c:pt>
                <c:pt idx="6">
                  <c:v>Юли</c:v>
                </c:pt>
                <c:pt idx="7">
                  <c:v>Август</c:v>
                </c:pt>
                <c:pt idx="8">
                  <c:v>Септември</c:v>
                </c:pt>
                <c:pt idx="9">
                  <c:v>Октомври</c:v>
                </c:pt>
                <c:pt idx="10">
                  <c:v>Ноември</c:v>
                </c:pt>
                <c:pt idx="11">
                  <c:v>Декември</c:v>
                </c:pt>
              </c:strCache>
            </c:strRef>
          </c:cat>
          <c:val>
            <c:numRef>
              <c:f>Sheet1!$B$18:$M$18</c:f>
              <c:numCache>
                <c:formatCode>###\ ###\ ###</c:formatCode>
                <c:ptCount val="12"/>
                <c:pt idx="0">
                  <c:v>83000</c:v>
                </c:pt>
                <c:pt idx="1">
                  <c:v>83000</c:v>
                </c:pt>
                <c:pt idx="2">
                  <c:v>83000</c:v>
                </c:pt>
                <c:pt idx="3">
                  <c:v>83000</c:v>
                </c:pt>
                <c:pt idx="4">
                  <c:v>83000</c:v>
                </c:pt>
                <c:pt idx="5">
                  <c:v>83000</c:v>
                </c:pt>
                <c:pt idx="6">
                  <c:v>83000</c:v>
                </c:pt>
                <c:pt idx="7">
                  <c:v>83000</c:v>
                </c:pt>
                <c:pt idx="8">
                  <c:v>83000</c:v>
                </c:pt>
                <c:pt idx="9">
                  <c:v>83000</c:v>
                </c:pt>
                <c:pt idx="10">
                  <c:v>83000</c:v>
                </c:pt>
                <c:pt idx="11">
                  <c:v>83000</c:v>
                </c:pt>
              </c:numCache>
            </c:numRef>
          </c:val>
          <c:shape val="cylinder"/>
          <c:extLst xmlns:c16r2="http://schemas.microsoft.com/office/drawing/2015/06/chart">
            <c:ext xmlns:c16="http://schemas.microsoft.com/office/drawing/2014/chart" uri="{C3380CC4-5D6E-409C-BE32-E72D297353CC}">
              <c16:uniqueId val="{00000001-B116-403A-A4F0-2EF2CC27BF8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566012064"/>
        <c:axId val="566010496"/>
        <c:axId val="0"/>
      </c:bar3DChart>
      <c:catAx>
        <c:axId val="566012064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cap="all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bg-BG"/>
                  <a:t>период</a:t>
                </a:r>
                <a:endParaRPr lang="en-US"/>
              </a:p>
            </c:rich>
          </c:tx>
          <c:layout>
            <c:manualLayout>
              <c:xMode val="edge"/>
              <c:yMode val="edge"/>
              <c:x val="0.45410977668195524"/>
              <c:y val="0.91868906386701665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900" b="0" i="0" u="none" strike="noStrike" kern="1200" cap="all" baseline="0">
                  <a:solidFill>
                    <a:sysClr val="windowText" lastClr="000000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en-US"/>
          </a:p>
        </c:txPr>
        <c:crossAx val="566010496"/>
        <c:crosses val="autoZero"/>
        <c:auto val="1"/>
        <c:lblAlgn val="ctr"/>
        <c:lblOffset val="100"/>
        <c:noMultiLvlLbl val="0"/>
      </c:catAx>
      <c:valAx>
        <c:axId val="56601049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wrap="square" anchor="ctr" anchorCtr="1"/>
              <a:lstStyle/>
              <a:p>
                <a:pPr>
                  <a:defRPr sz="900" b="0" i="0" u="none" strike="noStrike" kern="1200" cap="all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en-US"/>
                  <a:t>MWH</a:t>
                </a:r>
              </a:p>
            </c:rich>
          </c:tx>
          <c:layout>
            <c:manualLayout>
              <c:xMode val="edge"/>
              <c:yMode val="edge"/>
              <c:x val="4.6073364540772613E-2"/>
              <c:y val="0.13894211140274132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wrap="square" anchor="ctr" anchorCtr="1"/>
            <a:lstStyle/>
            <a:p>
              <a:pPr>
                <a:defRPr sz="900" b="0" i="0" u="none" strike="noStrike" kern="1200" cap="all" baseline="0">
                  <a:solidFill>
                    <a:sysClr val="windowText" lastClr="000000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en-US"/>
            </a:p>
          </c:txPr>
        </c:title>
        <c:numFmt formatCode="###\ ###\ ###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en-US"/>
          </a:p>
        </c:txPr>
        <c:crossAx val="56601206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solidFill>
            <a:sysClr val="windowText" lastClr="000000"/>
          </a:solidFill>
          <a:latin typeface="Times New Roman" panose="02020603050405020304" pitchFamily="18" charset="0"/>
          <a:cs typeface="Times New Roman" panose="02020603050405020304" pitchFamily="18" charset="0"/>
        </a:defRPr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89">
  <cs:axisTitle>
    <cs:lnRef idx="0"/>
    <cs:fillRef idx="0"/>
    <cs:effectRef idx="0"/>
    <cs:fontRef idx="minor">
      <a:schemeClr val="tx1">
        <a:lumMod val="50000"/>
        <a:lumOff val="50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>
  <cs:dataPoint3D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3D>
  <cs:dataPointLine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158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4"/>
  <cs:dataPointWireframe>
    <cs:lnRef idx="0">
      <cs:styleClr val="auto"/>
    </cs:lnRef>
    <cs:fillRef idx="2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50000"/>
        <a:lumOff val="50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1">
        <a:lumMod val="50000"/>
        <a:lumOff val="50000"/>
      </a:schemeClr>
    </cs:fontRef>
    <cs:defRPr sz="1400" kern="1200" cap="none" spc="20" baseline="0"/>
  </cs:title>
  <cs:trendline>
    <cs:lnRef idx="0">
      <cs:styleClr val="auto"/>
    </cs:lnRef>
    <cs:fillRef idx="2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Yordan Bozhinov</dc:creator>
  <cp:keywords/>
  <dc:description/>
  <cp:lastModifiedBy>Ivo Andreev</cp:lastModifiedBy>
  <cp:revision>2</cp:revision>
  <cp:lastPrinted>2019-03-14T14:18:00Z</cp:lastPrinted>
  <dcterms:created xsi:type="dcterms:W3CDTF">2019-03-14T14:44:00Z</dcterms:created>
  <dcterms:modified xsi:type="dcterms:W3CDTF">2019-03-14T14:44:00Z</dcterms:modified>
</cp:coreProperties>
</file>